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врач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А.Н.Байцуров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   « __________20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ПАСПОРТ ДОСТУПНОСТИ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СУРКОВСКОГО ФЕЛЬДШЕРСКО-АКУШЕРСКОГО ПУНКТА</w:t>
      </w:r>
    </w:p>
    <w:p>
      <w:pPr>
        <w:keepNext w:val="true"/>
        <w:keepLines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22</w:t>
      </w:r>
    </w:p>
    <w:p>
      <w:pPr>
        <w:keepNext w:val="true"/>
        <w:keepLines w:val="true"/>
        <w:tabs>
          <w:tab w:val="left" w:pos="708" w:leader="none"/>
          <w:tab w:val="left" w:pos="4735" w:leader="underscore"/>
          <w:tab w:val="left" w:pos="5921" w:leader="underscor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6"/>
        </w:numPr>
        <w:suppressAutoHyphens w:val="true"/>
        <w:spacing w:before="0" w:after="12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Общие сведения об объекте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  <w:tab w:val="left" w:pos="4057" w:leader="none"/>
          <w:tab w:val="left" w:pos="9073" w:leader="underscore"/>
        </w:tabs>
        <w:suppressAutoHyphens w:val="true"/>
        <w:spacing w:before="0" w:after="120" w:line="240"/>
        <w:ind w:right="0" w:left="320" w:hanging="3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Наименование (вид)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Сурковский ФАП)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объекта: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399630, Липецкая область, Лебедянский район, с. Сурки, ул. Новая, д. 72 встроенное-пристроенное нежилое помещение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</w:p>
    <w:p>
      <w:pPr>
        <w:numPr>
          <w:ilvl w:val="0"/>
          <w:numId w:val="6"/>
        </w:numPr>
        <w:tabs>
          <w:tab w:val="left" w:pos="708" w:leader="none"/>
          <w:tab w:val="left" w:pos="481" w:leader="non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Сведения о размещении объекта:</w:t>
      </w:r>
    </w:p>
    <w:p>
      <w:pPr>
        <w:numPr>
          <w:ilvl w:val="0"/>
          <w:numId w:val="6"/>
        </w:numPr>
        <w:tabs>
          <w:tab w:val="left" w:pos="708" w:leader="none"/>
          <w:tab w:val="left" w:pos="183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отдельно стоящее здание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_____148,2____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174" w:leader="none"/>
        </w:tabs>
        <w:suppressAutoHyphens w:val="true"/>
        <w:spacing w:before="0" w:after="0" w:line="240"/>
        <w:ind w:right="0" w:left="283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наличие прилегающего земельного участка (да, нет)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____нет_____ 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  <w:vertAlign w:val="superscript"/>
        </w:rPr>
        <w:t xml:space="preserve">2</w:t>
      </w:r>
    </w:p>
    <w:p>
      <w:pPr>
        <w:numPr>
          <w:ilvl w:val="0"/>
          <w:numId w:val="6"/>
        </w:numPr>
        <w:tabs>
          <w:tab w:val="left" w:pos="708" w:leader="none"/>
          <w:tab w:val="left" w:pos="471" w:leader="none"/>
          <w:tab w:val="left" w:pos="4801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 постройки здания: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1980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     г.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последнего капитального ремонта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2009     г.</w:t>
      </w:r>
    </w:p>
    <w:p>
      <w:pPr>
        <w:numPr>
          <w:ilvl w:val="0"/>
          <w:numId w:val="6"/>
        </w:numPr>
        <w:tabs>
          <w:tab w:val="left" w:pos="708" w:leader="none"/>
          <w:tab w:val="left" w:pos="500" w:leader="non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Дата предстоящих плановых ремонтных работ: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__________________________________________________________________</w:t>
      </w:r>
    </w:p>
    <w:p>
      <w:pPr>
        <w:tabs>
          <w:tab w:val="left" w:pos="708" w:leader="none"/>
          <w:tab w:val="left" w:pos="50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Сведения об организации, расположенной на объекте:</w:t>
      </w:r>
    </w:p>
    <w:p>
      <w:pPr>
        <w:numPr>
          <w:ilvl w:val="0"/>
          <w:numId w:val="17"/>
        </w:numPr>
        <w:tabs>
          <w:tab w:val="left" w:pos="500" w:leader="none"/>
          <w:tab w:val="left" w:pos="708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Название организации (учреждения), (полное юридическое наименование - согласно Уставу, краткое наименование):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Государственное учреждение здравоохранения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центральная районная 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ГУЗ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Лебедянская ЦРБ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Сурковский фельдшерско-акушерский пункт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numPr>
          <w:ilvl w:val="0"/>
          <w:numId w:val="17"/>
        </w:numPr>
        <w:tabs>
          <w:tab w:val="left" w:pos="708" w:leader="none"/>
          <w:tab w:val="left" w:pos="500" w:leader="none"/>
          <w:tab w:val="left" w:pos="9097" w:leader="underscore"/>
        </w:tabs>
        <w:suppressAutoHyphens w:val="true"/>
        <w:spacing w:before="12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Юридический адрес организации (учреждения):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399774, Липецкая область, г. Лебедянь, ул. Почтовая, д. 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708" w:leader="none"/>
          <w:tab w:val="left" w:pos="505" w:leader="none"/>
          <w:tab w:val="left" w:pos="9097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Основание для пользования объектом (оперативное управление, аренда, собственность)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оперативное управление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481" w:leader="none"/>
          <w:tab w:val="left" w:pos="708" w:leader="none"/>
          <w:tab w:val="left" w:pos="9097" w:leader="underscore"/>
        </w:tabs>
        <w:suppressAutoHyphens w:val="true"/>
        <w:spacing w:before="12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собственности (государственная, негосударственная):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государственная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17"/>
        </w:numPr>
        <w:tabs>
          <w:tab w:val="left" w:pos="708" w:leader="none"/>
          <w:tab w:val="left" w:pos="983" w:leader="none"/>
          <w:tab w:val="left" w:pos="59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Территориальная принадлежность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федеральная, региональная, муниципальная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региональная</w:t>
      </w:r>
    </w:p>
    <w:p>
      <w:pPr>
        <w:numPr>
          <w:ilvl w:val="0"/>
          <w:numId w:val="17"/>
        </w:numPr>
        <w:tabs>
          <w:tab w:val="left" w:pos="708" w:leader="none"/>
          <w:tab w:val="left" w:pos="959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Вышестоящая организация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(наименование)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: Управление здравоохранения Липецкой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___________________________________________________</w:t>
      </w:r>
    </w:p>
    <w:p>
      <w:pPr>
        <w:numPr>
          <w:ilvl w:val="0"/>
          <w:numId w:val="17"/>
        </w:num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Адрес вышестоящей организации, другие координаты: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398050, Липецкая область, г. Липецк, ул. Зегеля, д. 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_____________________________________</w:t>
      </w:r>
    </w:p>
    <w:p>
      <w:pPr>
        <w:tabs>
          <w:tab w:val="left" w:pos="708" w:leader="none"/>
          <w:tab w:val="left" w:pos="959" w:leader="none"/>
          <w:tab w:val="left" w:pos="6566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Характеристика деятельности организации на объекте</w:t>
      </w:r>
    </w:p>
    <w:p>
      <w:pPr>
        <w:keepNext w:val="true"/>
        <w:keepLines w:val="true"/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tabs>
          <w:tab w:val="left" w:pos="708" w:leader="none"/>
          <w:tab w:val="left" w:pos="825" w:leader="none"/>
          <w:tab w:val="left" w:pos="4286" w:leader="underscore"/>
          <w:tab w:val="left" w:pos="9398" w:leader="underscor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Сфера деятельности: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здравоохранение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</w:p>
    <w:p>
      <w:pPr>
        <w:numPr>
          <w:ilvl w:val="0"/>
          <w:numId w:val="27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 оказываемых услуг: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оказание первичной медико-санитарной помощи</w:t>
      </w:r>
    </w:p>
    <w:p>
      <w:pPr>
        <w:numPr>
          <w:ilvl w:val="0"/>
          <w:numId w:val="27"/>
        </w:numPr>
        <w:tabs>
          <w:tab w:val="left" w:pos="708" w:leader="none"/>
          <w:tab w:val="left" w:pos="83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Форма оказания услуг: (на объекте, с длительным пребыванием, в т.ч. проживанием, на дому, дистанционно)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объекте/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 дому</w:t>
      </w:r>
    </w:p>
    <w:p>
      <w:pPr>
        <w:numPr>
          <w:ilvl w:val="0"/>
          <w:numId w:val="27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все возрастные категории</w:t>
      </w:r>
    </w:p>
    <w:p>
      <w:pPr>
        <w:numPr>
          <w:ilvl w:val="0"/>
          <w:numId w:val="27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Категории обслуживаемых инвалидов: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инвалиды, передвигающиеся на коляске, инвалиды с нарушениями опорно-двигательного аппарата: нарушениями зрения, нарушениями слуха, нарушениями умственного развития</w:t>
      </w:r>
    </w:p>
    <w:p>
      <w:pPr>
        <w:numPr>
          <w:ilvl w:val="0"/>
          <w:numId w:val="27"/>
        </w:numPr>
        <w:tabs>
          <w:tab w:val="left" w:pos="708" w:leader="none"/>
          <w:tab w:val="left" w:pos="825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Плановая мощность: посещаемость (количество обслуживаемых в день, вместимость, пропускная способность)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10 посещений </w:t>
      </w:r>
    </w:p>
    <w:p>
      <w:pPr>
        <w:numPr>
          <w:ilvl w:val="0"/>
          <w:numId w:val="27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Участие в исполнении ИПР инвалида, ребенка-инвалида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</w:t>
      </w:r>
    </w:p>
    <w:p>
      <w:pPr>
        <w:numPr>
          <w:ilvl w:val="0"/>
          <w:numId w:val="27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работающих на объекте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7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сотрудников, оказывающих услуги населению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</w:p>
    <w:p>
      <w:pPr>
        <w:numPr>
          <w:ilvl w:val="0"/>
          <w:numId w:val="27"/>
        </w:numPr>
        <w:tabs>
          <w:tab w:val="left" w:pos="708" w:leader="none"/>
          <w:tab w:val="left" w:pos="820" w:leader="none"/>
        </w:tabs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 оказываемых на объекте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индивидуальной мобильности инвалидов и возможность для самостоятельного их передвижения по объекту, в том числе имеются:</w:t>
      </w:r>
    </w:p>
    <w:tbl>
      <w:tblPr/>
      <w:tblGrid>
        <w:gridCol w:w="826"/>
        <w:gridCol w:w="3295"/>
        <w:gridCol w:w="992"/>
        <w:gridCol w:w="1560"/>
        <w:gridCol w:w="2702"/>
      </w:tblGrid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элементов доступности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 (да/нет)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выполне-ния меропри-ятия (год)</w:t>
            </w: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Примечание (если не требуется, указать почему)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выделенные стоянки автотранспортных средств для инвалидов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3.1.2.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сменные кресла-коляски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3.1.3.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адаптированные лифты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3.1.4.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поручни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3.1.5.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пандусы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н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  <w:t xml:space="preserve">ет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3.1.6.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подъемные платформы (аппарели)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 требуются согласно дейсвующих норм</w:t>
            </w: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3.1.7.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раздвижные двери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3.1.8.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входные группы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3.1.9.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доступные санитарно- гигиенические помещения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3.1.10.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достаточная ширина дверных проемов в стенах, лестничных маршей, площадок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3.1.11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портативные информационные индукционные системы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3.1.12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мнемосхема территории учреждения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3.1.13</w:t>
            </w:r>
          </w:p>
        </w:tc>
        <w:tc>
          <w:tcPr>
            <w:tcW w:w="3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поддержание плиточного покрытия пешеходной дорожки, площадки перед входом в здание в исправном состоянии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keepNext w:val="true"/>
        <w:keepLines w:val="true"/>
        <w:suppressAutoHyphens w:val="true"/>
        <w:spacing w:before="0" w:after="12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</w:t>
      </w:r>
    </w:p>
    <w:p>
      <w:pPr>
        <w:suppressAutoHyphens w:val="true"/>
        <w:spacing w:before="120" w:after="120" w:line="240"/>
        <w:ind w:right="0" w:left="0" w:firstLine="5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tbl>
      <w:tblPr/>
      <w:tblGrid>
        <w:gridCol w:w="2230"/>
        <w:gridCol w:w="2831"/>
        <w:gridCol w:w="4227"/>
      </w:tblGrid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знаками:</w:t>
      </w:r>
    </w:p>
    <w:tbl>
      <w:tblPr/>
      <w:tblGrid>
        <w:gridCol w:w="2227"/>
        <w:gridCol w:w="2827"/>
        <w:gridCol w:w="4210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Наличие специалиста, владеющего русским жестовым языком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60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доступа на объект сурдопереводчика и тифлосурдопереводчика: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          4.5.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auto" w:val="clear"/>
        </w:rPr>
        <w:t xml:space="preserve">Обеспечение сопровождения инвалидов организации при получении медицинских услуг:</w:t>
      </w:r>
    </w:p>
    <w:tbl>
      <w:tblPr/>
      <w:tblGrid>
        <w:gridCol w:w="2227"/>
        <w:gridCol w:w="2824"/>
        <w:gridCol w:w="4217"/>
      </w:tblGrid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по территории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Планируемый срок выполнения мероприятия (год)</w:t>
            </w:r>
          </w:p>
        </w:tc>
      </w:tr>
      <w:tr>
        <w:trPr>
          <w:trHeight w:val="1" w:hRule="atLeast"/>
          <w:jc w:val="center"/>
        </w:trPr>
        <w:tc>
          <w:tcPr>
            <w:tcW w:w="2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есть</w:t>
            </w:r>
          </w:p>
        </w:tc>
        <w:tc>
          <w:tcPr>
            <w:tcW w:w="2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tabs>
          <w:tab w:val="left" w:pos="708" w:leader="none"/>
          <w:tab w:val="left" w:pos="6720" w:leader="underscore"/>
        </w:tabs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/>
      <w:tblGrid>
        <w:gridCol w:w="2268"/>
        <w:gridCol w:w="283"/>
        <w:gridCol w:w="313"/>
        <w:gridCol w:w="2239"/>
        <w:gridCol w:w="850"/>
        <w:gridCol w:w="597"/>
        <w:gridCol w:w="2805"/>
        <w:gridCol w:w="1045"/>
        <w:gridCol w:w="1159"/>
      </w:tblGrid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предоставляющих услуги населению человек: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работников организации, населению, прошедших работы с инвалидами по вопросам, связанным с обеспечением доступности для инвалидов объектов и услуг человек: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 %</w:t>
            </w:r>
          </w:p>
        </w:tc>
      </w:tr>
      <w:tr>
        <w:trPr>
          <w:trHeight w:val="1" w:hRule="atLeast"/>
          <w:jc w:val="center"/>
        </w:trPr>
        <w:tc>
          <w:tcPr>
            <w:tcW w:w="2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240" w:after="12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4.7.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Доля работников организаций, на которых административно- 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населению: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организации, предоставляющих услуги населению человек: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 возложено оказание помощи инвалидам при предоставлении им услуг человек: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Доля работников организации, на которых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административно- распорядительным актом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возложено оказание помощи инвалидам при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предоставлении им услуг %</w:t>
            </w:r>
          </w:p>
        </w:tc>
      </w:tr>
      <w:tr>
        <w:trPr>
          <w:trHeight w:val="1" w:hRule="atLeast"/>
          <w:jc w:val="center"/>
        </w:trPr>
        <w:tc>
          <w:tcPr>
            <w:tcW w:w="28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8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8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00%</w:t>
            </w:r>
          </w:p>
        </w:tc>
      </w:tr>
      <w:tr>
        <w:trPr>
          <w:trHeight w:val="1" w:hRule="atLeast"/>
          <w:jc w:val="center"/>
        </w:trPr>
        <w:tc>
          <w:tcPr>
            <w:tcW w:w="10400" w:type="dxa"/>
            <w:gridSpan w:val="8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120" w:after="120" w:line="240"/>
              <w:ind w:right="0" w:left="0" w:firstLine="54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используемых для предоставления услуг гражданам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Количество 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57" w:left="5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 транспортных средств</w:t>
            </w:r>
          </w:p>
        </w:tc>
      </w:tr>
      <w:tr>
        <w:trPr>
          <w:trHeight w:val="1" w:hRule="atLeast"/>
          <w:jc w:val="center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</w:tc>
        <w:tc>
          <w:tcPr>
            <w:tcW w:w="28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нет</w:t>
            </w:r>
          </w:p>
        </w:tc>
        <w:tc>
          <w:tcPr>
            <w:tcW w:w="645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9"/>
                <w:shd w:fill="auto" w:val="clear"/>
              </w:rPr>
              <w:t xml:space="preserve">ет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Информация об оказании услуг на объекте</w:t>
      </w:r>
    </w:p>
    <w:tbl>
      <w:tblPr/>
      <w:tblGrid>
        <w:gridCol w:w="5669"/>
        <w:gridCol w:w="2438"/>
        <w:gridCol w:w="1304"/>
      </w:tblGrid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Вид оказания услуг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Наличие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 услуг</w:t>
            </w: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Услуга оказывается на всем объекте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На объекте выделено специальное место (места), где предоставляются услуги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на дому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Услуги предоставляются дистанционно</w:t>
            </w:r>
          </w:p>
        </w:tc>
        <w:tc>
          <w:tcPr>
            <w:tcW w:w="2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333333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auto" w:val="clear"/>
              </w:rPr>
              <w:t xml:space="preserve">да</w:t>
            </w:r>
          </w:p>
        </w:tc>
        <w:tc>
          <w:tcPr>
            <w:tcW w:w="13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33333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Оценка соответствия уровня доступности для инвалидов объекта и предоставляемых услуг и имеющихся недостатков в обеспечении условий их доступности для инвалидов</w:t>
      </w:r>
    </w:p>
    <w:tbl>
      <w:tblPr/>
      <w:tblGrid>
        <w:gridCol w:w="5485"/>
        <w:gridCol w:w="3782"/>
      </w:tblGrid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Категория инвалидов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Оценка состояния доступности объекта и услуг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Инвалиды, передвигающиеся на креслах-колясках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опорно-двигательного аппарата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зрения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слуха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Инвалиды с нарушениями умственного развития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37"/>
                <w:shd w:fill="auto" w:val="clear"/>
              </w:rPr>
              <w:t xml:space="preserve">д</w:t>
            </w:r>
          </w:p>
        </w:tc>
      </w:tr>
      <w:tr>
        <w:trPr>
          <w:trHeight w:val="1" w:hRule="atLeast"/>
          <w:jc w:val="center"/>
        </w:trPr>
        <w:tc>
          <w:tcPr>
            <w:tcW w:w="5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57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3"/>
                <w:shd w:fill="auto" w:val="clear"/>
              </w:rPr>
              <w:t xml:space="preserve">Итоговое заключение о доступности объекта и услуг</w:t>
            </w:r>
          </w:p>
        </w:tc>
        <w:tc>
          <w:tcPr>
            <w:tcW w:w="3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shd w:fill="auto" w:val="clear"/>
              </w:rPr>
              <w:t xml:space="preserve">Д (К, С, Г, О, У)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17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